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9A" w:rsidRPr="007563F5" w:rsidRDefault="004B75AD" w:rsidP="00EB409A">
      <w:pPr>
        <w:pStyle w:val="Tytu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Zarządzenie nr 93/12</w:t>
      </w:r>
    </w:p>
    <w:p w:rsidR="00EB409A" w:rsidRPr="007563F5" w:rsidRDefault="00EB409A" w:rsidP="00EB409A">
      <w:pPr>
        <w:pStyle w:val="Podtytu"/>
        <w:rPr>
          <w:rFonts w:ascii="Tahoma" w:hAnsi="Tahoma" w:cs="Tahoma"/>
          <w:sz w:val="20"/>
          <w:szCs w:val="20"/>
        </w:rPr>
      </w:pPr>
      <w:r w:rsidRPr="007563F5">
        <w:rPr>
          <w:rFonts w:ascii="Tahoma" w:hAnsi="Tahoma" w:cs="Tahoma"/>
          <w:sz w:val="20"/>
          <w:szCs w:val="20"/>
        </w:rPr>
        <w:t xml:space="preserve">Wójta Gminy Ropa </w:t>
      </w:r>
    </w:p>
    <w:p w:rsidR="00EB409A" w:rsidRPr="007563F5" w:rsidRDefault="004B75AD" w:rsidP="00EB409A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z dnia 18</w:t>
      </w:r>
      <w:r w:rsidR="00EB409A" w:rsidRPr="007563F5">
        <w:rPr>
          <w:rFonts w:ascii="Tahoma" w:hAnsi="Tahoma" w:cs="Tahoma"/>
          <w:b/>
          <w:bCs/>
          <w:sz w:val="20"/>
          <w:szCs w:val="20"/>
        </w:rPr>
        <w:t xml:space="preserve"> stycznia 2012r.</w:t>
      </w:r>
    </w:p>
    <w:p w:rsidR="00EB409A" w:rsidRPr="007563F5" w:rsidRDefault="00EB409A" w:rsidP="00EB409A">
      <w:pPr>
        <w:pStyle w:val="Tekstpodstawowy"/>
        <w:jc w:val="left"/>
        <w:rPr>
          <w:rFonts w:ascii="Tahoma" w:hAnsi="Tahoma" w:cs="Tahoma"/>
          <w:sz w:val="20"/>
          <w:szCs w:val="20"/>
        </w:rPr>
      </w:pPr>
    </w:p>
    <w:p w:rsidR="00EB409A" w:rsidRPr="007563F5" w:rsidRDefault="00EB409A" w:rsidP="00EB409A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7563F5">
        <w:rPr>
          <w:rFonts w:ascii="Tahoma" w:hAnsi="Tahoma" w:cs="Tahoma"/>
          <w:b w:val="0"/>
          <w:sz w:val="20"/>
          <w:szCs w:val="20"/>
        </w:rPr>
        <w:t>Na podstawie art. 28, ust. 1 ustawy z dnia 25 czerwca 2010r. o sporcie, w związku z uchwałą  nr V/36/11 Rady Gminy Ropa z dnia 31 marca 2011r. w sprawie określenia warunków i trybu finansowego  wspierania rozwoju sportu w gminie Ropa Wójt Gminy Ropa zarządzam, co następuje:</w:t>
      </w:r>
    </w:p>
    <w:p w:rsidR="00EB409A" w:rsidRPr="007563F5" w:rsidRDefault="00EB409A" w:rsidP="00EB409A">
      <w:pPr>
        <w:pStyle w:val="NormalnyWeb"/>
        <w:rPr>
          <w:rFonts w:ascii="Tahoma" w:hAnsi="Tahoma" w:cs="Tahoma"/>
          <w:sz w:val="20"/>
          <w:szCs w:val="20"/>
        </w:rPr>
      </w:pPr>
    </w:p>
    <w:p w:rsidR="00EB409A" w:rsidRDefault="00EB409A" w:rsidP="00EB409A">
      <w:pPr>
        <w:pStyle w:val="NormalnyWeb"/>
        <w:jc w:val="center"/>
      </w:pPr>
      <w:r>
        <w:rPr>
          <w:rFonts w:ascii="Tahoma" w:hAnsi="Tahoma" w:cs="Tahoma"/>
          <w:sz w:val="20"/>
          <w:szCs w:val="20"/>
        </w:rPr>
        <w:t>§ 1.</w:t>
      </w:r>
    </w:p>
    <w:p w:rsidR="00EB409A" w:rsidRDefault="00EB409A" w:rsidP="00EB409A">
      <w:pPr>
        <w:pStyle w:val="NormalnyWeb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budżetu Gminy Ropa udziela się dotacji na dofinansowanie zadań publicznych z zakresu sportu na terenie gminy.</w:t>
      </w:r>
    </w:p>
    <w:p w:rsidR="00EB409A" w:rsidRPr="00EB409A" w:rsidRDefault="00EB409A" w:rsidP="00EB409A">
      <w:pPr>
        <w:pStyle w:val="NormalnyWeb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Wykaz ofert i realizujących je podmiotów, którym udziela się dotacji z budżetu gminy Ropa w ramach otwartego konkursu ofert na realizację zadań publicznych gminy Ropa w dziedzinie kultury fizycznej zawiera załącznik nr 1 do uchwały.</w:t>
      </w:r>
    </w:p>
    <w:p w:rsidR="00EB409A" w:rsidRDefault="00EB409A" w:rsidP="00EB409A">
      <w:pPr>
        <w:pStyle w:val="NormalnyWeb"/>
        <w:numPr>
          <w:ilvl w:val="0"/>
          <w:numId w:val="1"/>
        </w:numPr>
      </w:pPr>
      <w:r>
        <w:rPr>
          <w:rFonts w:ascii="Tahoma" w:hAnsi="Tahoma" w:cs="Tahoma"/>
          <w:sz w:val="20"/>
          <w:szCs w:val="20"/>
        </w:rPr>
        <w:t>Wykaz ofert i realizujących je podmiotów, którym nie udziela się dotacji z budżetu gminy Ropa w ramach otwartego konkursu ofert na realizację zadań publicznych gminy Ropa w dziedzinie sportu zawiera załącznik nr 2  do uchwały.</w:t>
      </w:r>
    </w:p>
    <w:p w:rsidR="00EB409A" w:rsidRDefault="00EB409A" w:rsidP="00EB409A">
      <w:pPr>
        <w:pStyle w:val="NormalnyWeb"/>
        <w:jc w:val="center"/>
      </w:pPr>
      <w:r>
        <w:rPr>
          <w:rFonts w:ascii="Tahoma" w:hAnsi="Tahoma" w:cs="Tahoma"/>
          <w:sz w:val="20"/>
          <w:szCs w:val="20"/>
        </w:rPr>
        <w:t>§ 2.</w:t>
      </w:r>
    </w:p>
    <w:p w:rsidR="00EB409A" w:rsidRDefault="00EB409A" w:rsidP="00EB409A">
      <w:pPr>
        <w:pStyle w:val="NormalnyWeb"/>
      </w:pPr>
      <w:r>
        <w:rPr>
          <w:rFonts w:ascii="Tahoma" w:hAnsi="Tahoma" w:cs="Tahoma"/>
          <w:sz w:val="20"/>
          <w:szCs w:val="20"/>
        </w:rPr>
        <w:t>Środki na realizację uchwały znajdują pokrycie w budżecie Gminy Ropa.</w:t>
      </w:r>
    </w:p>
    <w:p w:rsidR="00EB409A" w:rsidRDefault="00EB409A" w:rsidP="00EB409A">
      <w:pPr>
        <w:pStyle w:val="NormalnyWeb"/>
        <w:jc w:val="center"/>
      </w:pPr>
      <w:r>
        <w:rPr>
          <w:rFonts w:ascii="Tahoma" w:hAnsi="Tahoma" w:cs="Tahoma"/>
          <w:sz w:val="20"/>
          <w:szCs w:val="20"/>
        </w:rPr>
        <w:t>§ 3.</w:t>
      </w:r>
    </w:p>
    <w:p w:rsidR="00EB409A" w:rsidRDefault="00EB409A" w:rsidP="00EB409A">
      <w:pPr>
        <w:pStyle w:val="NormalnyWeb"/>
      </w:pPr>
      <w:r>
        <w:rPr>
          <w:rFonts w:ascii="Tahoma" w:hAnsi="Tahoma" w:cs="Tahoma"/>
          <w:sz w:val="20"/>
          <w:szCs w:val="20"/>
        </w:rPr>
        <w:t>Z wybranymi podmiotami, o których mowa w § 1 ust. 1 zostanie zawarta umowa określająca zakres i warunki realizacji zadania publicznego.</w:t>
      </w:r>
    </w:p>
    <w:p w:rsidR="00EB409A" w:rsidRDefault="00EB409A" w:rsidP="00EB409A">
      <w:pPr>
        <w:pStyle w:val="NormalnyWeb"/>
        <w:jc w:val="center"/>
      </w:pPr>
      <w:r>
        <w:rPr>
          <w:rFonts w:ascii="Tahoma" w:hAnsi="Tahoma" w:cs="Tahoma"/>
          <w:sz w:val="20"/>
          <w:szCs w:val="20"/>
        </w:rPr>
        <w:t>§ 4.</w:t>
      </w:r>
    </w:p>
    <w:p w:rsidR="00EB409A" w:rsidRDefault="00EB409A" w:rsidP="00EB409A">
      <w:pPr>
        <w:pStyle w:val="NormalnyWeb"/>
      </w:pPr>
      <w:r>
        <w:rPr>
          <w:rFonts w:ascii="Tahoma" w:hAnsi="Tahoma" w:cs="Tahoma"/>
          <w:sz w:val="20"/>
          <w:szCs w:val="20"/>
        </w:rPr>
        <w:t>Wykonanie uchwały powierza się Sekretarzowi Gminy Ropa.</w:t>
      </w:r>
    </w:p>
    <w:p w:rsidR="00EB409A" w:rsidRDefault="00EB409A" w:rsidP="00EB409A">
      <w:pPr>
        <w:pStyle w:val="NormalnyWeb"/>
        <w:jc w:val="center"/>
      </w:pPr>
      <w:r>
        <w:rPr>
          <w:rFonts w:ascii="Tahoma" w:hAnsi="Tahoma" w:cs="Tahoma"/>
          <w:sz w:val="20"/>
          <w:szCs w:val="20"/>
        </w:rPr>
        <w:t>§ 5.</w:t>
      </w:r>
    </w:p>
    <w:p w:rsidR="00EB409A" w:rsidRDefault="00EB409A" w:rsidP="00EB409A">
      <w:pPr>
        <w:pStyle w:val="NormalnyWeb"/>
      </w:pPr>
      <w:r>
        <w:rPr>
          <w:rFonts w:ascii="Tahoma" w:hAnsi="Tahoma" w:cs="Tahoma"/>
          <w:sz w:val="20"/>
          <w:szCs w:val="20"/>
        </w:rPr>
        <w:t>Uchwała wchodzi w życie z dniem podjęcia.</w:t>
      </w:r>
    </w:p>
    <w:p w:rsidR="00715D9F" w:rsidRDefault="00715D9F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Default="000F1F2E"/>
    <w:p w:rsidR="000F1F2E" w:rsidRPr="00A636E8" w:rsidRDefault="000F1F2E" w:rsidP="000F1F2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36E8">
        <w:rPr>
          <w:rFonts w:ascii="Arial" w:hAnsi="Arial" w:cs="Arial"/>
          <w:sz w:val="20"/>
          <w:szCs w:val="20"/>
        </w:rPr>
        <w:t>Zał</w:t>
      </w:r>
      <w:r w:rsidRPr="00A636E8">
        <w:rPr>
          <w:rFonts w:ascii="Arial" w:eastAsia="TTE1EFC828t00" w:hAnsi="Arial" w:cs="Arial"/>
          <w:sz w:val="20"/>
          <w:szCs w:val="20"/>
        </w:rPr>
        <w:t>ą</w:t>
      </w:r>
      <w:r w:rsidRPr="00A636E8">
        <w:rPr>
          <w:rFonts w:ascii="Arial" w:hAnsi="Arial" w:cs="Arial"/>
          <w:sz w:val="20"/>
          <w:szCs w:val="20"/>
        </w:rPr>
        <w:t>cznik nr 1</w:t>
      </w:r>
    </w:p>
    <w:p w:rsidR="000F1F2E" w:rsidRPr="00A636E8" w:rsidRDefault="000F1F2E" w:rsidP="000F1F2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36E8">
        <w:rPr>
          <w:rFonts w:ascii="Arial" w:hAnsi="Arial" w:cs="Arial"/>
          <w:sz w:val="20"/>
          <w:szCs w:val="20"/>
        </w:rPr>
        <w:t>do zarządzenia</w:t>
      </w:r>
      <w:r>
        <w:rPr>
          <w:rFonts w:ascii="Arial" w:hAnsi="Arial" w:cs="Arial"/>
          <w:sz w:val="20"/>
          <w:szCs w:val="20"/>
        </w:rPr>
        <w:t xml:space="preserve"> nr 93/12</w:t>
      </w:r>
      <w:r w:rsidRPr="00A636E8">
        <w:rPr>
          <w:rFonts w:ascii="Arial" w:hAnsi="Arial" w:cs="Arial"/>
          <w:sz w:val="20"/>
          <w:szCs w:val="20"/>
        </w:rPr>
        <w:t xml:space="preserve"> </w:t>
      </w:r>
    </w:p>
    <w:p w:rsidR="000F1F2E" w:rsidRPr="00A636E8" w:rsidRDefault="000F1F2E" w:rsidP="000F1F2E">
      <w:pPr>
        <w:jc w:val="right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Wójta Gminy Ropa z dnia 18 stycznia 2012 </w:t>
      </w:r>
      <w:r w:rsidRPr="00A636E8">
        <w:rPr>
          <w:rFonts w:ascii="Arial" w:hAnsi="Arial" w:cs="Arial"/>
          <w:sz w:val="20"/>
          <w:szCs w:val="20"/>
        </w:rPr>
        <w:t>roku</w:t>
      </w:r>
    </w:p>
    <w:p w:rsidR="000F1F2E" w:rsidRPr="00A636E8" w:rsidRDefault="000F1F2E" w:rsidP="000F1F2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F1F2E" w:rsidRPr="00A636E8" w:rsidRDefault="000F1F2E" w:rsidP="000F1F2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F1F2E" w:rsidRPr="00A636E8" w:rsidRDefault="000F1F2E" w:rsidP="000F1F2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636E8">
        <w:rPr>
          <w:rFonts w:ascii="Arial" w:hAnsi="Arial" w:cs="Arial"/>
          <w:bCs/>
          <w:sz w:val="20"/>
          <w:szCs w:val="20"/>
        </w:rPr>
        <w:t>Wykaz ofert i realizuj</w:t>
      </w:r>
      <w:r w:rsidRPr="00A636E8">
        <w:rPr>
          <w:rFonts w:ascii="Arial" w:eastAsia="TTE18F05A0t00" w:hAnsi="Arial" w:cs="Arial"/>
          <w:sz w:val="20"/>
          <w:szCs w:val="20"/>
        </w:rPr>
        <w:t>ą</w:t>
      </w:r>
      <w:r w:rsidRPr="00A636E8">
        <w:rPr>
          <w:rFonts w:ascii="Arial" w:hAnsi="Arial" w:cs="Arial"/>
          <w:bCs/>
          <w:sz w:val="20"/>
          <w:szCs w:val="20"/>
        </w:rPr>
        <w:t>cych je podmiotów, którym udziela si</w:t>
      </w:r>
      <w:r w:rsidRPr="00A636E8">
        <w:rPr>
          <w:rFonts w:ascii="Arial" w:eastAsia="TTE18F05A0t00" w:hAnsi="Arial" w:cs="Arial"/>
          <w:sz w:val="20"/>
          <w:szCs w:val="20"/>
        </w:rPr>
        <w:t xml:space="preserve">ę </w:t>
      </w:r>
      <w:r w:rsidRPr="00A636E8">
        <w:rPr>
          <w:rFonts w:ascii="Arial" w:hAnsi="Arial" w:cs="Arial"/>
          <w:bCs/>
          <w:sz w:val="20"/>
          <w:szCs w:val="20"/>
        </w:rPr>
        <w:t>dotacji z bud</w:t>
      </w:r>
      <w:r w:rsidRPr="00A636E8">
        <w:rPr>
          <w:rFonts w:ascii="Arial" w:eastAsia="TTE18F05A0t00" w:hAnsi="Arial" w:cs="Arial"/>
          <w:sz w:val="20"/>
          <w:szCs w:val="20"/>
        </w:rPr>
        <w:t>ż</w:t>
      </w:r>
      <w:r w:rsidRPr="00A636E8">
        <w:rPr>
          <w:rFonts w:ascii="Arial" w:hAnsi="Arial" w:cs="Arial"/>
          <w:bCs/>
          <w:sz w:val="20"/>
          <w:szCs w:val="20"/>
        </w:rPr>
        <w:t>etu</w:t>
      </w:r>
    </w:p>
    <w:p w:rsidR="000F1F2E" w:rsidRDefault="000F1F2E" w:rsidP="000F1F2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636E8">
        <w:rPr>
          <w:rFonts w:ascii="Arial" w:hAnsi="Arial" w:cs="Arial"/>
          <w:bCs/>
          <w:sz w:val="20"/>
          <w:szCs w:val="20"/>
        </w:rPr>
        <w:t>Gminy Ropa w ramach otwartego konkursu ofert na realizacj</w:t>
      </w:r>
      <w:r w:rsidRPr="00A636E8">
        <w:rPr>
          <w:rFonts w:ascii="Arial" w:eastAsia="TTE18F05A0t00" w:hAnsi="Arial" w:cs="Arial"/>
          <w:sz w:val="20"/>
          <w:szCs w:val="20"/>
        </w:rPr>
        <w:t>ę</w:t>
      </w:r>
      <w:r>
        <w:rPr>
          <w:rFonts w:ascii="Arial" w:eastAsia="TTE18F05A0t00" w:hAnsi="Arial" w:cs="Arial"/>
          <w:sz w:val="20"/>
          <w:szCs w:val="20"/>
        </w:rPr>
        <w:t xml:space="preserve"> </w:t>
      </w:r>
      <w:r w:rsidRPr="00A636E8">
        <w:rPr>
          <w:rFonts w:ascii="Arial" w:hAnsi="Arial" w:cs="Arial"/>
          <w:bCs/>
          <w:sz w:val="20"/>
          <w:szCs w:val="20"/>
        </w:rPr>
        <w:t>zada</w:t>
      </w:r>
      <w:r w:rsidRPr="00A636E8">
        <w:rPr>
          <w:rFonts w:ascii="Arial" w:eastAsia="TTE18F05A0t00" w:hAnsi="Arial" w:cs="Arial"/>
          <w:sz w:val="20"/>
          <w:szCs w:val="20"/>
        </w:rPr>
        <w:t xml:space="preserve">ń </w:t>
      </w:r>
      <w:r w:rsidRPr="00A636E8">
        <w:rPr>
          <w:rFonts w:ascii="Arial" w:hAnsi="Arial" w:cs="Arial"/>
          <w:bCs/>
          <w:sz w:val="20"/>
          <w:szCs w:val="20"/>
        </w:rPr>
        <w:t>publicznych w zakresie sportu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F1F2E" w:rsidRPr="00A636E8" w:rsidRDefault="000F1F2E" w:rsidP="000F1F2E">
      <w:pPr>
        <w:autoSpaceDE w:val="0"/>
        <w:autoSpaceDN w:val="0"/>
        <w:adjustRightInd w:val="0"/>
        <w:rPr>
          <w:rStyle w:val="Pogrubienie"/>
          <w:rFonts w:ascii="Arial" w:eastAsia="TTE18F05A0t00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roku 2012</w:t>
      </w: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559"/>
        <w:gridCol w:w="2268"/>
        <w:gridCol w:w="1559"/>
        <w:gridCol w:w="1449"/>
        <w:gridCol w:w="1843"/>
      </w:tblGrid>
      <w:tr w:rsidR="000F1F2E" w:rsidTr="00A7205C">
        <w:trPr>
          <w:trHeight w:val="210"/>
        </w:trPr>
        <w:tc>
          <w:tcPr>
            <w:tcW w:w="534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5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</w:rPr>
              <w:t>Nazwa oferenta</w:t>
            </w:r>
          </w:p>
        </w:tc>
        <w:tc>
          <w:tcPr>
            <w:tcW w:w="2268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</w:rPr>
              <w:t>Nazwa projektu</w:t>
            </w:r>
          </w:p>
        </w:tc>
        <w:tc>
          <w:tcPr>
            <w:tcW w:w="155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</w:rPr>
              <w:t>Całkowity koszt projektu w 2012 r.</w:t>
            </w:r>
          </w:p>
        </w:tc>
        <w:tc>
          <w:tcPr>
            <w:tcW w:w="144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</w:rPr>
              <w:t>Wnioskowana kwota dotacji</w:t>
            </w:r>
          </w:p>
        </w:tc>
        <w:tc>
          <w:tcPr>
            <w:tcW w:w="1843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</w:rPr>
              <w:t>Przyznana kwota dotacji</w:t>
            </w:r>
          </w:p>
        </w:tc>
      </w:tr>
      <w:tr w:rsidR="000F1F2E" w:rsidTr="00A7205C">
        <w:trPr>
          <w:trHeight w:val="255"/>
        </w:trPr>
        <w:tc>
          <w:tcPr>
            <w:tcW w:w="534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Klub Sportowy Ropa</w:t>
            </w:r>
          </w:p>
        </w:tc>
        <w:tc>
          <w:tcPr>
            <w:tcW w:w="2268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„Zdrowo – z piłką nożną na sportowo”</w:t>
            </w:r>
          </w:p>
        </w:tc>
        <w:tc>
          <w:tcPr>
            <w:tcW w:w="155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30500,00</w:t>
            </w:r>
          </w:p>
        </w:tc>
        <w:tc>
          <w:tcPr>
            <w:tcW w:w="144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1843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30000,00</w:t>
            </w:r>
          </w:p>
        </w:tc>
      </w:tr>
      <w:tr w:rsidR="000F1F2E" w:rsidTr="00A7205C">
        <w:trPr>
          <w:trHeight w:val="255"/>
        </w:trPr>
        <w:tc>
          <w:tcPr>
            <w:tcW w:w="534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Ludowy Uczniowski Klub Sportowy „Tytan”</w:t>
            </w:r>
          </w:p>
        </w:tc>
        <w:tc>
          <w:tcPr>
            <w:tcW w:w="2268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Krzewienie, propagowanie aktywności sportowej wśród dzieci, młodzieży i dorosłych przez organizację zajęć sportowych</w:t>
            </w:r>
          </w:p>
        </w:tc>
        <w:tc>
          <w:tcPr>
            <w:tcW w:w="155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15200,00</w:t>
            </w:r>
          </w:p>
        </w:tc>
        <w:tc>
          <w:tcPr>
            <w:tcW w:w="144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1843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15000,00</w:t>
            </w:r>
          </w:p>
        </w:tc>
      </w:tr>
      <w:tr w:rsidR="000F1F2E" w:rsidTr="00A7205C">
        <w:trPr>
          <w:trHeight w:val="255"/>
        </w:trPr>
        <w:tc>
          <w:tcPr>
            <w:tcW w:w="534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Klub Sportowy Łosie</w:t>
            </w:r>
          </w:p>
        </w:tc>
        <w:tc>
          <w:tcPr>
            <w:tcW w:w="2268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Prowadzenie rozgrywek sportowych w Lidze Piłki Nożnej</w:t>
            </w:r>
          </w:p>
        </w:tc>
        <w:tc>
          <w:tcPr>
            <w:tcW w:w="155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10100,00</w:t>
            </w:r>
          </w:p>
        </w:tc>
        <w:tc>
          <w:tcPr>
            <w:tcW w:w="1449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843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10000,00</w:t>
            </w:r>
          </w:p>
        </w:tc>
      </w:tr>
    </w:tbl>
    <w:p w:rsidR="000F1F2E" w:rsidRPr="00A636E8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  <w:rFonts w:ascii="Arial" w:hAnsi="Arial" w:cs="Arial"/>
          <w:sz w:val="20"/>
          <w:szCs w:val="20"/>
        </w:rPr>
      </w:pPr>
    </w:p>
    <w:p w:rsidR="000F1F2E" w:rsidRDefault="000F1F2E" w:rsidP="000F1F2E">
      <w:pPr>
        <w:rPr>
          <w:rStyle w:val="Pogrubienie"/>
        </w:rPr>
      </w:pPr>
    </w:p>
    <w:p w:rsidR="000F1F2E" w:rsidRPr="00A636E8" w:rsidRDefault="000F1F2E" w:rsidP="000F1F2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36E8">
        <w:rPr>
          <w:rFonts w:ascii="Arial" w:hAnsi="Arial" w:cs="Arial"/>
          <w:sz w:val="20"/>
          <w:szCs w:val="20"/>
        </w:rPr>
        <w:t>Zał</w:t>
      </w:r>
      <w:r w:rsidRPr="00A636E8">
        <w:rPr>
          <w:rFonts w:ascii="Arial" w:eastAsia="TTE1EFC828t00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cznik nr 2</w:t>
      </w:r>
    </w:p>
    <w:p w:rsidR="000F1F2E" w:rsidRPr="00A636E8" w:rsidRDefault="000F1F2E" w:rsidP="000F1F2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A636E8">
        <w:rPr>
          <w:rFonts w:ascii="Arial" w:hAnsi="Arial" w:cs="Arial"/>
          <w:sz w:val="20"/>
          <w:szCs w:val="20"/>
        </w:rPr>
        <w:t>do zarządzenia</w:t>
      </w:r>
      <w:r>
        <w:rPr>
          <w:rFonts w:ascii="Arial" w:hAnsi="Arial" w:cs="Arial"/>
          <w:sz w:val="20"/>
          <w:szCs w:val="20"/>
        </w:rPr>
        <w:t xml:space="preserve"> nr 93/12</w:t>
      </w:r>
      <w:r w:rsidRPr="00A636E8">
        <w:rPr>
          <w:rFonts w:ascii="Arial" w:hAnsi="Arial" w:cs="Arial"/>
          <w:sz w:val="20"/>
          <w:szCs w:val="20"/>
        </w:rPr>
        <w:t xml:space="preserve"> </w:t>
      </w:r>
    </w:p>
    <w:p w:rsidR="000F1F2E" w:rsidRPr="00A636E8" w:rsidRDefault="000F1F2E" w:rsidP="000F1F2E">
      <w:pPr>
        <w:jc w:val="right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Wójta Gminy Ropa z dnia 18 stycznia 2012 </w:t>
      </w:r>
      <w:r w:rsidRPr="00A636E8">
        <w:rPr>
          <w:rFonts w:ascii="Arial" w:hAnsi="Arial" w:cs="Arial"/>
          <w:sz w:val="20"/>
          <w:szCs w:val="20"/>
        </w:rPr>
        <w:t>roku</w:t>
      </w:r>
    </w:p>
    <w:p w:rsidR="000F1F2E" w:rsidRPr="00A636E8" w:rsidRDefault="000F1F2E" w:rsidP="000F1F2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F1F2E" w:rsidRPr="00A636E8" w:rsidRDefault="000F1F2E" w:rsidP="000F1F2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F1F2E" w:rsidRPr="00A636E8" w:rsidRDefault="000F1F2E" w:rsidP="000F1F2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A636E8">
        <w:rPr>
          <w:rFonts w:ascii="Arial" w:hAnsi="Arial" w:cs="Arial"/>
          <w:bCs/>
          <w:sz w:val="20"/>
          <w:szCs w:val="20"/>
        </w:rPr>
        <w:t>Wykaz ofert i realizuj</w:t>
      </w:r>
      <w:r w:rsidRPr="00A636E8">
        <w:rPr>
          <w:rFonts w:ascii="Arial" w:eastAsia="TTE18F05A0t00" w:hAnsi="Arial" w:cs="Arial"/>
          <w:sz w:val="20"/>
          <w:szCs w:val="20"/>
        </w:rPr>
        <w:t>ą</w:t>
      </w:r>
      <w:r w:rsidRPr="00A636E8">
        <w:rPr>
          <w:rFonts w:ascii="Arial" w:hAnsi="Arial" w:cs="Arial"/>
          <w:bCs/>
          <w:sz w:val="20"/>
          <w:szCs w:val="20"/>
        </w:rPr>
        <w:t xml:space="preserve">cych je podmiotów, którym </w:t>
      </w:r>
      <w:r>
        <w:rPr>
          <w:rFonts w:ascii="Arial" w:hAnsi="Arial" w:cs="Arial"/>
          <w:bCs/>
          <w:sz w:val="20"/>
          <w:szCs w:val="20"/>
        </w:rPr>
        <w:t xml:space="preserve">nie </w:t>
      </w:r>
      <w:r w:rsidRPr="00A636E8">
        <w:rPr>
          <w:rFonts w:ascii="Arial" w:hAnsi="Arial" w:cs="Arial"/>
          <w:bCs/>
          <w:sz w:val="20"/>
          <w:szCs w:val="20"/>
        </w:rPr>
        <w:t>udziela si</w:t>
      </w:r>
      <w:r w:rsidRPr="00A636E8">
        <w:rPr>
          <w:rFonts w:ascii="Arial" w:eastAsia="TTE18F05A0t00" w:hAnsi="Arial" w:cs="Arial"/>
          <w:sz w:val="20"/>
          <w:szCs w:val="20"/>
        </w:rPr>
        <w:t xml:space="preserve">ę </w:t>
      </w:r>
      <w:r w:rsidRPr="00A636E8">
        <w:rPr>
          <w:rFonts w:ascii="Arial" w:hAnsi="Arial" w:cs="Arial"/>
          <w:bCs/>
          <w:sz w:val="20"/>
          <w:szCs w:val="20"/>
        </w:rPr>
        <w:t>dotacji z bud</w:t>
      </w:r>
      <w:r w:rsidRPr="00A636E8">
        <w:rPr>
          <w:rFonts w:ascii="Arial" w:eastAsia="TTE18F05A0t00" w:hAnsi="Arial" w:cs="Arial"/>
          <w:sz w:val="20"/>
          <w:szCs w:val="20"/>
        </w:rPr>
        <w:t>ż</w:t>
      </w:r>
      <w:r w:rsidRPr="00A636E8">
        <w:rPr>
          <w:rFonts w:ascii="Arial" w:hAnsi="Arial" w:cs="Arial"/>
          <w:bCs/>
          <w:sz w:val="20"/>
          <w:szCs w:val="20"/>
        </w:rPr>
        <w:t>etu</w:t>
      </w:r>
    </w:p>
    <w:p w:rsidR="000F1F2E" w:rsidRPr="00A636E8" w:rsidRDefault="000F1F2E" w:rsidP="000F1F2E">
      <w:pPr>
        <w:autoSpaceDE w:val="0"/>
        <w:autoSpaceDN w:val="0"/>
        <w:adjustRightInd w:val="0"/>
        <w:rPr>
          <w:rStyle w:val="Pogrubienie"/>
          <w:rFonts w:ascii="Arial" w:eastAsia="TTE18F05A0t00" w:hAnsi="Arial" w:cs="Arial"/>
          <w:b w:val="0"/>
          <w:bCs w:val="0"/>
          <w:sz w:val="20"/>
          <w:szCs w:val="20"/>
        </w:rPr>
      </w:pPr>
      <w:r w:rsidRPr="00A636E8">
        <w:rPr>
          <w:rFonts w:ascii="Arial" w:hAnsi="Arial" w:cs="Arial"/>
          <w:bCs/>
          <w:sz w:val="20"/>
          <w:szCs w:val="20"/>
        </w:rPr>
        <w:t>Gminy Ropa w ramach otwartego konkursu ofert na realizacj</w:t>
      </w:r>
      <w:r w:rsidRPr="00A636E8">
        <w:rPr>
          <w:rFonts w:ascii="Arial" w:eastAsia="TTE18F05A0t00" w:hAnsi="Arial" w:cs="Arial"/>
          <w:sz w:val="20"/>
          <w:szCs w:val="20"/>
        </w:rPr>
        <w:t>ę</w:t>
      </w:r>
      <w:r>
        <w:rPr>
          <w:rFonts w:ascii="Arial" w:eastAsia="TTE18F05A0t00" w:hAnsi="Arial" w:cs="Arial"/>
          <w:sz w:val="20"/>
          <w:szCs w:val="20"/>
        </w:rPr>
        <w:t xml:space="preserve"> </w:t>
      </w:r>
      <w:r w:rsidRPr="00A636E8">
        <w:rPr>
          <w:rFonts w:ascii="Arial" w:hAnsi="Arial" w:cs="Arial"/>
          <w:bCs/>
          <w:sz w:val="20"/>
          <w:szCs w:val="20"/>
        </w:rPr>
        <w:t>zada</w:t>
      </w:r>
      <w:r w:rsidRPr="00A636E8">
        <w:rPr>
          <w:rFonts w:ascii="Arial" w:eastAsia="TTE18F05A0t00" w:hAnsi="Arial" w:cs="Arial"/>
          <w:sz w:val="20"/>
          <w:szCs w:val="20"/>
        </w:rPr>
        <w:t xml:space="preserve">ń </w:t>
      </w:r>
      <w:r w:rsidRPr="00A636E8">
        <w:rPr>
          <w:rFonts w:ascii="Arial" w:hAnsi="Arial" w:cs="Arial"/>
          <w:bCs/>
          <w:sz w:val="20"/>
          <w:szCs w:val="20"/>
        </w:rPr>
        <w:t>publicznych w zakresie sportu</w:t>
      </w:r>
      <w:r>
        <w:rPr>
          <w:rFonts w:ascii="Arial" w:hAnsi="Arial" w:cs="Arial"/>
          <w:bCs/>
          <w:sz w:val="20"/>
          <w:szCs w:val="20"/>
        </w:rPr>
        <w:t xml:space="preserve"> w roku 2012</w:t>
      </w:r>
    </w:p>
    <w:p w:rsidR="000F1F2E" w:rsidRDefault="000F1F2E" w:rsidP="000F1F2E"/>
    <w:tbl>
      <w:tblPr>
        <w:tblStyle w:val="Tabela-Siatka"/>
        <w:tblW w:w="0" w:type="auto"/>
        <w:jc w:val="center"/>
        <w:tblLook w:val="04A0"/>
      </w:tblPr>
      <w:tblGrid>
        <w:gridCol w:w="555"/>
        <w:gridCol w:w="1287"/>
        <w:gridCol w:w="3653"/>
        <w:gridCol w:w="2693"/>
      </w:tblGrid>
      <w:tr w:rsidR="000F1F2E" w:rsidTr="00A7205C">
        <w:trPr>
          <w:trHeight w:val="210"/>
          <w:jc w:val="center"/>
        </w:trPr>
        <w:tc>
          <w:tcPr>
            <w:tcW w:w="555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87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</w:rPr>
              <w:t>Nazwa oferenta</w:t>
            </w:r>
          </w:p>
        </w:tc>
        <w:tc>
          <w:tcPr>
            <w:tcW w:w="3653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</w:rPr>
              <w:t>nazwa projektu</w:t>
            </w:r>
          </w:p>
        </w:tc>
        <w:tc>
          <w:tcPr>
            <w:tcW w:w="2693" w:type="dxa"/>
          </w:tcPr>
          <w:p w:rsidR="000F1F2E" w:rsidRDefault="000F1F2E" w:rsidP="00A7205C">
            <w:pPr>
              <w:rPr>
                <w:rStyle w:val="Pogrubienie"/>
              </w:rPr>
            </w:pPr>
            <w:r>
              <w:rPr>
                <w:rStyle w:val="Pogrubienie"/>
              </w:rPr>
              <w:t>Podstawa</w:t>
            </w:r>
          </w:p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  <w:tr w:rsidR="000F1F2E" w:rsidTr="00A7205C">
        <w:trPr>
          <w:trHeight w:val="255"/>
          <w:jc w:val="center"/>
        </w:trPr>
        <w:tc>
          <w:tcPr>
            <w:tcW w:w="555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87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Klub Kolarski „</w:t>
            </w:r>
            <w:proofErr w:type="spellStart"/>
            <w:r>
              <w:rPr>
                <w:rStyle w:val="Pogrubienie"/>
                <w:rFonts w:ascii="Arial" w:hAnsi="Arial" w:cs="Arial"/>
                <w:sz w:val="20"/>
                <w:szCs w:val="20"/>
              </w:rPr>
              <w:t>Grupetto</w:t>
            </w:r>
            <w:proofErr w:type="spellEnd"/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Gorlice”</w:t>
            </w:r>
          </w:p>
        </w:tc>
        <w:tc>
          <w:tcPr>
            <w:tcW w:w="3653" w:type="dxa"/>
          </w:tcPr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>II Klasyk Beskidzki – wyścig szosowy</w:t>
            </w:r>
          </w:p>
        </w:tc>
        <w:tc>
          <w:tcPr>
            <w:tcW w:w="2693" w:type="dxa"/>
          </w:tcPr>
          <w:p w:rsidR="000F1F2E" w:rsidRPr="00BC3AD1" w:rsidRDefault="000F1F2E" w:rsidP="00A7205C">
            <w:pPr>
              <w:pStyle w:val="NormalnyWeb"/>
              <w:jc w:val="center"/>
              <w:rPr>
                <w:rFonts w:ascii="Tahoma" w:hAnsi="Tahoma" w:cs="Tahoma"/>
                <w:b/>
              </w:rPr>
            </w:pPr>
            <w:r w:rsidRPr="00BC3AD1">
              <w:rPr>
                <w:rStyle w:val="Pogrubienie"/>
                <w:rFonts w:ascii="Tahoma" w:hAnsi="Tahoma" w:cs="Tahoma"/>
                <w:sz w:val="20"/>
                <w:szCs w:val="20"/>
              </w:rPr>
              <w:t xml:space="preserve">Brak zaplanowania środków w budżecie gminy Ropa – </w:t>
            </w:r>
            <w:proofErr w:type="spellStart"/>
            <w:r w:rsidRPr="00BC3AD1">
              <w:rPr>
                <w:rStyle w:val="Pogrubienie"/>
                <w:rFonts w:ascii="Tahoma" w:hAnsi="Tahoma" w:cs="Tahoma"/>
                <w:sz w:val="20"/>
                <w:szCs w:val="20"/>
              </w:rPr>
              <w:t>pkt</w:t>
            </w:r>
            <w:proofErr w:type="spellEnd"/>
            <w:r w:rsidRPr="00BC3AD1">
              <w:rPr>
                <w:rStyle w:val="Pogrubienie"/>
                <w:rFonts w:ascii="Tahoma" w:hAnsi="Tahoma" w:cs="Tahoma"/>
                <w:sz w:val="20"/>
                <w:szCs w:val="20"/>
              </w:rPr>
              <w:t xml:space="preserve"> 7 </w:t>
            </w:r>
            <w:r w:rsidRPr="00BC3AD1">
              <w:rPr>
                <w:rFonts w:ascii="Tahoma" w:hAnsi="Tahoma" w:cs="Tahoma"/>
                <w:sz w:val="20"/>
                <w:szCs w:val="20"/>
              </w:rPr>
              <w:t>§ 4  Uchwały nr V/36/11 Rady Gminy Ropa.</w:t>
            </w:r>
          </w:p>
          <w:p w:rsidR="000F1F2E" w:rsidRDefault="000F1F2E" w:rsidP="00A7205C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</w:p>
        </w:tc>
      </w:tr>
    </w:tbl>
    <w:p w:rsidR="000F1F2E" w:rsidRDefault="000F1F2E" w:rsidP="000F1F2E"/>
    <w:p w:rsidR="000F1F2E" w:rsidRDefault="000F1F2E"/>
    <w:sectPr w:rsidR="000F1F2E" w:rsidSect="00715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EFC828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8F05A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846DB"/>
    <w:multiLevelType w:val="hybridMultilevel"/>
    <w:tmpl w:val="B7E0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09A"/>
    <w:rsid w:val="000F1F2E"/>
    <w:rsid w:val="00197E36"/>
    <w:rsid w:val="001E460A"/>
    <w:rsid w:val="004B75AD"/>
    <w:rsid w:val="00605810"/>
    <w:rsid w:val="00715D9F"/>
    <w:rsid w:val="00D459AD"/>
    <w:rsid w:val="00EB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409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B4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B409A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B4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B409A"/>
    <w:pPr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EB40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409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F1F2E"/>
    <w:rPr>
      <w:b/>
      <w:bCs/>
    </w:rPr>
  </w:style>
  <w:style w:type="table" w:styleId="Tabela-Siatka">
    <w:name w:val="Table Grid"/>
    <w:basedOn w:val="Standardowy"/>
    <w:uiPriority w:val="59"/>
    <w:rsid w:val="000F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2012-01-27T07:46:00Z</cp:lastPrinted>
  <dcterms:created xsi:type="dcterms:W3CDTF">2012-01-26T07:59:00Z</dcterms:created>
  <dcterms:modified xsi:type="dcterms:W3CDTF">2012-02-01T07:28:00Z</dcterms:modified>
</cp:coreProperties>
</file>